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C2C" w:rsidRDefault="00275C2C" w:rsidP="00275C2C">
      <w:pPr>
        <w:spacing w:line="240" w:lineRule="atLeast"/>
        <w:jc w:val="both"/>
        <w:rPr>
          <w:sz w:val="20"/>
          <w:lang w:eastAsia="ja-JP"/>
        </w:rPr>
      </w:pPr>
      <w:r w:rsidRPr="00275C2C">
        <w:rPr>
          <w:rFonts w:hint="eastAsia"/>
          <w:color w:val="FF0000"/>
          <w:sz w:val="20"/>
          <w:lang w:eastAsia="ja-JP"/>
        </w:rPr>
        <w:t>(</w:t>
      </w:r>
      <w:r w:rsidR="00721544">
        <w:rPr>
          <w:color w:val="FF0000"/>
          <w:sz w:val="20"/>
          <w:lang w:eastAsia="ja-JP"/>
        </w:rPr>
        <w:t>T</w:t>
      </w:r>
      <w:r w:rsidRPr="00275C2C">
        <w:rPr>
          <w:color w:val="FF0000"/>
          <w:sz w:val="20"/>
          <w:lang w:eastAsia="ja-JP"/>
        </w:rPr>
        <w:t>emplate for Misasa2017 &amp; Core-Mantle Coevolution symposium</w:t>
      </w:r>
      <w:r w:rsidR="00721544">
        <w:rPr>
          <w:color w:val="FF0000"/>
          <w:sz w:val="20"/>
          <w:lang w:eastAsia="ja-JP"/>
        </w:rPr>
        <w:t>.</w:t>
      </w:r>
      <w:r w:rsidRPr="00275C2C">
        <w:rPr>
          <w:color w:val="FF0000"/>
          <w:sz w:val="20"/>
          <w:lang w:eastAsia="ja-JP"/>
        </w:rPr>
        <w:t xml:space="preserve"> </w:t>
      </w:r>
      <w:r w:rsidR="00721544">
        <w:rPr>
          <w:color w:val="FF0000"/>
          <w:sz w:val="20"/>
          <w:lang w:eastAsia="ja-JP"/>
        </w:rPr>
        <w:t>R</w:t>
      </w:r>
      <w:r w:rsidRPr="00275C2C">
        <w:rPr>
          <w:color w:val="FF0000"/>
          <w:sz w:val="20"/>
          <w:lang w:eastAsia="ja-JP"/>
        </w:rPr>
        <w:t xml:space="preserve">emove this </w:t>
      </w:r>
      <w:r w:rsidR="00721544">
        <w:rPr>
          <w:color w:val="FF0000"/>
          <w:sz w:val="20"/>
          <w:lang w:eastAsia="ja-JP"/>
        </w:rPr>
        <w:t>before upload</w:t>
      </w:r>
      <w:bookmarkStart w:id="0" w:name="_GoBack"/>
      <w:bookmarkEnd w:id="0"/>
      <w:r w:rsidRPr="00275C2C">
        <w:rPr>
          <w:rFonts w:hint="eastAsia"/>
          <w:color w:val="FF0000"/>
          <w:sz w:val="20"/>
          <w:lang w:eastAsia="ja-JP"/>
        </w:rPr>
        <w:t>.</w:t>
      </w:r>
      <w:r w:rsidRPr="00275C2C">
        <w:rPr>
          <w:color w:val="FF0000"/>
          <w:sz w:val="20"/>
          <w:lang w:eastAsia="ja-JP"/>
        </w:rPr>
        <w:t>)</w:t>
      </w:r>
    </w:p>
    <w:p w:rsidR="000D56DA" w:rsidRDefault="000D56DA" w:rsidP="000D56DA">
      <w:pPr>
        <w:spacing w:line="240" w:lineRule="atLeast"/>
        <w:jc w:val="both"/>
        <w:rPr>
          <w:sz w:val="20"/>
          <w:lang w:eastAsia="ja-JP"/>
        </w:rPr>
      </w:pPr>
      <w:r>
        <w:rPr>
          <w:b/>
          <w:sz w:val="20"/>
          <w:lang w:eastAsia="ja-JP"/>
        </w:rPr>
        <w:t>Low-frequency micro-Raman spectroscopy and its application to mineral sciences</w:t>
      </w:r>
    </w:p>
    <w:p w:rsidR="000D56DA" w:rsidRDefault="000D56DA" w:rsidP="000D56DA">
      <w:pPr>
        <w:spacing w:line="240" w:lineRule="atLeast"/>
        <w:jc w:val="both"/>
        <w:rPr>
          <w:sz w:val="20"/>
          <w:lang w:eastAsia="ja-JP"/>
        </w:rPr>
      </w:pPr>
      <w:r>
        <w:rPr>
          <w:sz w:val="20"/>
          <w:lang w:eastAsia="ja-JP"/>
        </w:rPr>
        <w:t>M</w:t>
      </w:r>
      <w:r>
        <w:rPr>
          <w:rFonts w:hint="eastAsia"/>
          <w:sz w:val="20"/>
          <w:lang w:eastAsia="ja-JP"/>
        </w:rPr>
        <w:t xml:space="preserve"> </w:t>
      </w:r>
      <w:r>
        <w:rPr>
          <w:sz w:val="20"/>
          <w:lang w:eastAsia="ja-JP"/>
        </w:rPr>
        <w:t>Kanzaki</w:t>
      </w:r>
      <w:r w:rsidRPr="00C73AED">
        <w:rPr>
          <w:rFonts w:hint="eastAsia"/>
          <w:sz w:val="20"/>
          <w:vertAlign w:val="superscript"/>
          <w:lang w:eastAsia="ja-JP"/>
        </w:rPr>
        <w:t>1</w:t>
      </w:r>
      <w:r>
        <w:rPr>
          <w:rFonts w:hint="eastAsia"/>
          <w:sz w:val="20"/>
          <w:vertAlign w:val="superscript"/>
          <w:lang w:eastAsia="ja-JP"/>
        </w:rPr>
        <w:t>*</w:t>
      </w:r>
      <w:r w:rsidRPr="00535679">
        <w:rPr>
          <w:sz w:val="20"/>
        </w:rPr>
        <w:t xml:space="preserve"> </w:t>
      </w:r>
      <w:r>
        <w:rPr>
          <w:sz w:val="20"/>
          <w:vertAlign w:val="superscript"/>
          <w:lang w:eastAsia="ja-JP"/>
        </w:rPr>
        <w:t>1</w:t>
      </w:r>
      <w:r>
        <w:rPr>
          <w:sz w:val="20"/>
          <w:lang w:eastAsia="ja-JP"/>
        </w:rPr>
        <w:t>Institute for Planetary Materials</w:t>
      </w:r>
      <w:r w:rsidRPr="00535679">
        <w:rPr>
          <w:rFonts w:hint="eastAsia"/>
          <w:sz w:val="20"/>
          <w:lang w:eastAsia="ja-JP"/>
        </w:rPr>
        <w:t xml:space="preserve">, </w:t>
      </w:r>
      <w:r>
        <w:rPr>
          <w:rFonts w:hint="eastAsia"/>
          <w:sz w:val="20"/>
          <w:lang w:eastAsia="ja-JP"/>
        </w:rPr>
        <w:t>Okayama University</w:t>
      </w:r>
      <w:r w:rsidRPr="00535679">
        <w:rPr>
          <w:rFonts w:hint="eastAsia"/>
          <w:sz w:val="20"/>
          <w:lang w:eastAsia="ja-JP"/>
        </w:rPr>
        <w:t xml:space="preserve">, </w:t>
      </w:r>
      <w:proofErr w:type="spellStart"/>
      <w:r>
        <w:rPr>
          <w:rFonts w:hint="eastAsia"/>
          <w:sz w:val="20"/>
          <w:lang w:eastAsia="ja-JP"/>
        </w:rPr>
        <w:t>Misasa</w:t>
      </w:r>
      <w:proofErr w:type="spellEnd"/>
      <w:r>
        <w:rPr>
          <w:rFonts w:hint="eastAsia"/>
          <w:sz w:val="20"/>
          <w:lang w:eastAsia="ja-JP"/>
        </w:rPr>
        <w:t>, Tottori 682-0193</w:t>
      </w:r>
      <w:r w:rsidRPr="00535679">
        <w:rPr>
          <w:rFonts w:hint="eastAsia"/>
          <w:sz w:val="20"/>
          <w:lang w:eastAsia="ja-JP"/>
        </w:rPr>
        <w:t>, Japan</w:t>
      </w:r>
      <w:r>
        <w:rPr>
          <w:rFonts w:hint="eastAsia"/>
          <w:sz w:val="20"/>
          <w:lang w:eastAsia="ja-JP"/>
        </w:rPr>
        <w:t>.</w:t>
      </w:r>
    </w:p>
    <w:p w:rsidR="000D56DA" w:rsidRDefault="000D56DA" w:rsidP="000D56DA">
      <w:pPr>
        <w:spacing w:line="240" w:lineRule="atLeast"/>
        <w:jc w:val="both"/>
        <w:rPr>
          <w:sz w:val="20"/>
          <w:lang w:eastAsia="ja-JP"/>
        </w:rPr>
      </w:pPr>
      <w:r>
        <w:rPr>
          <w:rFonts w:hint="eastAsia"/>
          <w:sz w:val="20"/>
          <w:lang w:eastAsia="ja-JP"/>
        </w:rPr>
        <w:t>*</w:t>
      </w:r>
      <w:proofErr w:type="gramStart"/>
      <w:r>
        <w:rPr>
          <w:rFonts w:hint="eastAsia"/>
          <w:sz w:val="20"/>
          <w:lang w:eastAsia="ja-JP"/>
        </w:rPr>
        <w:t>email:</w:t>
      </w:r>
      <w:r>
        <w:rPr>
          <w:sz w:val="20"/>
          <w:lang w:eastAsia="ja-JP"/>
        </w:rPr>
        <w:t>mkanzaki</w:t>
      </w:r>
      <w:r w:rsidRPr="00535679">
        <w:rPr>
          <w:rFonts w:hint="eastAsia"/>
          <w:sz w:val="20"/>
          <w:lang w:eastAsia="ja-JP"/>
        </w:rPr>
        <w:t>@</w:t>
      </w:r>
      <w:r>
        <w:rPr>
          <w:sz w:val="20"/>
          <w:lang w:eastAsia="ja-JP"/>
        </w:rPr>
        <w:t>okayama-u</w:t>
      </w:r>
      <w:r>
        <w:rPr>
          <w:rFonts w:hint="eastAsia"/>
          <w:sz w:val="20"/>
          <w:lang w:eastAsia="ja-JP"/>
        </w:rPr>
        <w:t>.ac.jp</w:t>
      </w:r>
      <w:proofErr w:type="gramEnd"/>
    </w:p>
    <w:p w:rsidR="00275C2C" w:rsidRDefault="00275C2C" w:rsidP="00275C2C">
      <w:pPr>
        <w:spacing w:line="240" w:lineRule="atLeast"/>
        <w:jc w:val="both"/>
        <w:rPr>
          <w:b/>
          <w:sz w:val="20"/>
        </w:rPr>
      </w:pPr>
    </w:p>
    <w:p w:rsidR="00275C2C" w:rsidRDefault="00275C2C" w:rsidP="00275C2C">
      <w:pPr>
        <w:spacing w:line="240" w:lineRule="atLeast"/>
        <w:jc w:val="both"/>
        <w:rPr>
          <w:b/>
          <w:sz w:val="20"/>
        </w:rPr>
        <w:sectPr w:rsidR="00275C2C" w:rsidSect="000D56DA">
          <w:headerReference w:type="even" r:id="rId6"/>
          <w:footerReference w:type="even" r:id="rId7"/>
          <w:pgSz w:w="11900" w:h="16840" w:code="1"/>
          <w:pgMar w:top="1440" w:right="1440" w:bottom="1440" w:left="1440" w:header="720" w:footer="720" w:gutter="0"/>
          <w:cols w:space="720"/>
          <w:docGrid w:linePitch="245"/>
        </w:sectPr>
      </w:pPr>
    </w:p>
    <w:p w:rsidR="000D56DA" w:rsidRDefault="000D56DA" w:rsidP="000D56DA">
      <w:pPr>
        <w:spacing w:line="240" w:lineRule="atLeast"/>
        <w:ind w:firstLine="288"/>
        <w:jc w:val="both"/>
        <w:rPr>
          <w:sz w:val="20"/>
        </w:rPr>
      </w:pPr>
      <w:r>
        <w:rPr>
          <w:b/>
          <w:sz w:val="20"/>
        </w:rPr>
        <w:t>Introduction:</w:t>
      </w:r>
      <w:r>
        <w:rPr>
          <w:sz w:val="20"/>
        </w:rPr>
        <w:t xml:space="preserve"> Because of advent of simple and cheap Raman system with single monochromator plus CCD detector, low-frequency Raman (</w:t>
      </w:r>
      <w:r>
        <w:rPr>
          <w:sz w:val="20"/>
          <w:lang w:eastAsia="ja-JP"/>
        </w:rPr>
        <w:t>below ~200 cm</w:t>
      </w:r>
      <w:r w:rsidRPr="000D69E0">
        <w:rPr>
          <w:sz w:val="20"/>
          <w:vertAlign w:val="superscript"/>
          <w:lang w:eastAsia="ja-JP"/>
        </w:rPr>
        <w:t>-1</w:t>
      </w:r>
      <w:r>
        <w:rPr>
          <w:rFonts w:hint="eastAsia"/>
          <w:sz w:val="20"/>
          <w:lang w:eastAsia="ja-JP"/>
        </w:rPr>
        <w:t>)</w:t>
      </w:r>
      <w:r>
        <w:rPr>
          <w:sz w:val="20"/>
        </w:rPr>
        <w:t xml:space="preserve"> becomes nearly obsolete in last two decades. This is due to lower frequency limit of Raman filters (+ dichroic filter) used for those spectrometers. However, this situation has changed in last few years, as </w:t>
      </w:r>
      <w:proofErr w:type="spellStart"/>
      <w:r>
        <w:rPr>
          <w:sz w:val="20"/>
        </w:rPr>
        <w:t>Ondax</w:t>
      </w:r>
      <w:proofErr w:type="spellEnd"/>
      <w:r>
        <w:rPr>
          <w:sz w:val="20"/>
        </w:rPr>
        <w:t xml:space="preserve"> Inc. introduced new Raman filter which allows measurement down to ~5 cm</w:t>
      </w:r>
      <w:r w:rsidRPr="000D69E0">
        <w:rPr>
          <w:sz w:val="20"/>
          <w:vertAlign w:val="superscript"/>
          <w:lang w:eastAsia="ja-JP"/>
        </w:rPr>
        <w:t>-1</w:t>
      </w:r>
      <w:r w:rsidRPr="00C73AED">
        <w:rPr>
          <w:sz w:val="20"/>
        </w:rPr>
        <w:t>.</w:t>
      </w:r>
      <w:r>
        <w:rPr>
          <w:sz w:val="20"/>
        </w:rPr>
        <w:t xml:space="preserve"> Simultaneously, terahertz spectroscopy (corresponding far-infrared region) is now available to non-specialists. Therefore, </w:t>
      </w:r>
      <w:r>
        <w:rPr>
          <w:sz w:val="20"/>
          <w:lang w:eastAsia="ja-JP"/>
        </w:rPr>
        <w:t xml:space="preserve">new era of </w:t>
      </w:r>
      <w:r>
        <w:rPr>
          <w:sz w:val="20"/>
        </w:rPr>
        <w:t xml:space="preserve">terahertz-region spectroscopy has arrived. </w:t>
      </w:r>
    </w:p>
    <w:p w:rsidR="000D56DA" w:rsidRDefault="000D56DA" w:rsidP="000D56DA">
      <w:pPr>
        <w:spacing w:line="240" w:lineRule="atLeast"/>
        <w:ind w:firstLine="288"/>
        <w:jc w:val="both"/>
        <w:rPr>
          <w:sz w:val="20"/>
          <w:lang w:eastAsia="ja-JP"/>
        </w:rPr>
      </w:pPr>
      <w:r>
        <w:rPr>
          <w:sz w:val="20"/>
        </w:rPr>
        <w:t xml:space="preserve">Although low-frequency region is not quite necessary for phase identification of materials (one of most used applications), it contains rich information of dynamics and local structure of materials. Boson peak in glasses and soft mode of phase transition are a few well known examples. In the talk, a few examples of applications to minerals are given to demonstrate ability of low-frequency Raman spectroscopy.     </w:t>
      </w:r>
    </w:p>
    <w:p w:rsidR="000D56DA" w:rsidRDefault="000D56DA" w:rsidP="000D56DA">
      <w:pPr>
        <w:spacing w:line="240" w:lineRule="atLeast"/>
        <w:ind w:firstLine="288"/>
        <w:jc w:val="both"/>
        <w:rPr>
          <w:sz w:val="20"/>
        </w:rPr>
      </w:pPr>
      <w:r w:rsidRPr="000A27E2">
        <w:rPr>
          <w:rFonts w:hint="eastAsia"/>
          <w:b/>
          <w:sz w:val="20"/>
          <w:lang w:eastAsia="ja-JP"/>
        </w:rPr>
        <w:t>Experimental</w:t>
      </w:r>
      <w:r w:rsidRPr="000A27E2">
        <w:rPr>
          <w:b/>
          <w:sz w:val="20"/>
        </w:rPr>
        <w:t>:</w:t>
      </w:r>
      <w:r w:rsidRPr="000A27E2">
        <w:rPr>
          <w:sz w:val="20"/>
        </w:rPr>
        <w:t xml:space="preserve"> </w:t>
      </w:r>
      <w:r>
        <w:rPr>
          <w:sz w:val="20"/>
        </w:rPr>
        <w:t xml:space="preserve">For micro-Raman measurement, a home-build spectrometer with single-monochromator and CCD detector was used. Two </w:t>
      </w:r>
      <w:proofErr w:type="spellStart"/>
      <w:r>
        <w:rPr>
          <w:sz w:val="20"/>
        </w:rPr>
        <w:t>Ondax</w:t>
      </w:r>
      <w:proofErr w:type="spellEnd"/>
      <w:r>
        <w:rPr>
          <w:sz w:val="20"/>
        </w:rPr>
        <w:t xml:space="preserve"> </w:t>
      </w:r>
      <w:proofErr w:type="spellStart"/>
      <w:r>
        <w:rPr>
          <w:sz w:val="20"/>
        </w:rPr>
        <w:t>SureBlock</w:t>
      </w:r>
      <w:proofErr w:type="spellEnd"/>
      <w:r>
        <w:rPr>
          <w:sz w:val="20"/>
        </w:rPr>
        <w:t xml:space="preserve"> filters are adopted to the system to obtain low-frequency Raman spectra. We also employed a </w:t>
      </w:r>
      <w:proofErr w:type="spellStart"/>
      <w:r>
        <w:rPr>
          <w:sz w:val="20"/>
        </w:rPr>
        <w:t>Ondax</w:t>
      </w:r>
      <w:proofErr w:type="spellEnd"/>
      <w:r>
        <w:rPr>
          <w:sz w:val="20"/>
        </w:rPr>
        <w:t xml:space="preserve"> </w:t>
      </w:r>
      <w:proofErr w:type="spellStart"/>
      <w:r>
        <w:rPr>
          <w:sz w:val="20"/>
        </w:rPr>
        <w:t>NoiseBlock</w:t>
      </w:r>
      <w:proofErr w:type="spellEnd"/>
      <w:r>
        <w:rPr>
          <w:sz w:val="20"/>
        </w:rPr>
        <w:t xml:space="preserve"> filter, which works as a dichroic mirror. 488 nm solid laser with laser power of 80 </w:t>
      </w:r>
      <w:proofErr w:type="spellStart"/>
      <w:r>
        <w:rPr>
          <w:sz w:val="20"/>
        </w:rPr>
        <w:t>mW</w:t>
      </w:r>
      <w:proofErr w:type="spellEnd"/>
      <w:r>
        <w:rPr>
          <w:sz w:val="20"/>
        </w:rPr>
        <w:t xml:space="preserve"> was used. See [1] for details of the instrument.</w:t>
      </w:r>
    </w:p>
    <w:p w:rsidR="000D56DA" w:rsidRDefault="000D56DA" w:rsidP="000D56DA">
      <w:pPr>
        <w:spacing w:line="240" w:lineRule="atLeast"/>
        <w:ind w:firstLine="288"/>
        <w:jc w:val="both"/>
        <w:rPr>
          <w:sz w:val="20"/>
          <w:lang w:eastAsia="ja-JP"/>
        </w:rPr>
      </w:pPr>
      <w:r>
        <w:rPr>
          <w:sz w:val="20"/>
          <w:lang w:eastAsia="ja-JP"/>
        </w:rPr>
        <w:t>For high-temperature measurements, a wire-heater was used, and temperature was calibrated against 5~6 standard materials with known melting points [2]</w:t>
      </w:r>
      <w:r>
        <w:rPr>
          <w:rFonts w:hint="eastAsia"/>
          <w:sz w:val="20"/>
          <w:lang w:eastAsia="ja-JP"/>
        </w:rPr>
        <w:t>.</w:t>
      </w:r>
    </w:p>
    <w:p w:rsidR="000D56DA" w:rsidRDefault="000D56DA" w:rsidP="000D56DA">
      <w:pPr>
        <w:spacing w:line="240" w:lineRule="atLeast"/>
        <w:ind w:firstLine="288"/>
        <w:jc w:val="both"/>
        <w:rPr>
          <w:sz w:val="20"/>
        </w:rPr>
      </w:pPr>
      <w:r w:rsidRPr="000A27E2">
        <w:rPr>
          <w:rFonts w:hint="eastAsia"/>
          <w:b/>
          <w:sz w:val="20"/>
          <w:lang w:eastAsia="ja-JP"/>
        </w:rPr>
        <w:t>Results</w:t>
      </w:r>
      <w:r>
        <w:rPr>
          <w:rFonts w:hint="eastAsia"/>
          <w:b/>
          <w:sz w:val="20"/>
          <w:lang w:eastAsia="ja-JP"/>
        </w:rPr>
        <w:t xml:space="preserve"> and Discussion</w:t>
      </w:r>
      <w:r w:rsidRPr="000A27E2">
        <w:rPr>
          <w:b/>
          <w:sz w:val="20"/>
        </w:rPr>
        <w:t>:</w:t>
      </w:r>
      <w:r w:rsidRPr="000A27E2">
        <w:rPr>
          <w:sz w:val="20"/>
        </w:rPr>
        <w:t xml:space="preserve"> </w:t>
      </w:r>
      <w:r>
        <w:rPr>
          <w:sz w:val="20"/>
        </w:rPr>
        <w:t xml:space="preserve">First example is soft mode of </w:t>
      </w:r>
      <w:r w:rsidRPr="00A7102E">
        <w:rPr>
          <w:rFonts w:ascii="Symbol" w:hAnsi="Symbol"/>
          <w:sz w:val="20"/>
        </w:rPr>
        <w:t></w:t>
      </w:r>
      <w:r>
        <w:rPr>
          <w:sz w:val="20"/>
        </w:rPr>
        <w:t>-AlPO</w:t>
      </w:r>
      <w:r w:rsidRPr="00BE5238">
        <w:rPr>
          <w:sz w:val="20"/>
          <w:vertAlign w:val="subscript"/>
        </w:rPr>
        <w:t>4</w:t>
      </w:r>
      <w:r>
        <w:rPr>
          <w:sz w:val="20"/>
        </w:rPr>
        <w:t xml:space="preserve">-moganite. This is a high-pressure phase synthesized at 5 </w:t>
      </w:r>
      <w:proofErr w:type="spellStart"/>
      <w:r>
        <w:rPr>
          <w:sz w:val="20"/>
        </w:rPr>
        <w:t>GPa</w:t>
      </w:r>
      <w:proofErr w:type="spellEnd"/>
      <w:r>
        <w:rPr>
          <w:sz w:val="20"/>
        </w:rPr>
        <w:t>, 1500 ˚C [3]. Similar to SiO</w:t>
      </w:r>
      <w:r w:rsidRPr="00BE5238">
        <w:rPr>
          <w:sz w:val="20"/>
          <w:vertAlign w:val="subscript"/>
        </w:rPr>
        <w:t>2</w:t>
      </w:r>
      <w:r>
        <w:rPr>
          <w:sz w:val="20"/>
        </w:rPr>
        <w:t>-moganite and other silica phases such as quartz, temperature-induced phase transition is expected. This supposed transition was studied using present micro-Raman system up to 600 ˚C. Two low-frequency modes (60 and 74 cm</w:t>
      </w:r>
      <w:r w:rsidRPr="00567335">
        <w:rPr>
          <w:sz w:val="20"/>
          <w:vertAlign w:val="superscript"/>
        </w:rPr>
        <w:t>-1</w:t>
      </w:r>
      <w:r>
        <w:rPr>
          <w:sz w:val="20"/>
        </w:rPr>
        <w:t>) were detected at room temperature. The 74 cm</w:t>
      </w:r>
      <w:r w:rsidRPr="00567335">
        <w:rPr>
          <w:sz w:val="20"/>
          <w:vertAlign w:val="superscript"/>
        </w:rPr>
        <w:t>-1</w:t>
      </w:r>
      <w:r>
        <w:rPr>
          <w:sz w:val="20"/>
        </w:rPr>
        <w:t>-mode significantly shifted toward 0 cm</w:t>
      </w:r>
      <w:r w:rsidRPr="00A7102E">
        <w:rPr>
          <w:sz w:val="20"/>
          <w:vertAlign w:val="superscript"/>
        </w:rPr>
        <w:t>-1</w:t>
      </w:r>
      <w:r>
        <w:rPr>
          <w:sz w:val="20"/>
        </w:rPr>
        <w:t xml:space="preserve"> with temperature as shown in Fig. 1. This behavior is well fitted with an order parameter equation as shown in Fig. 1, confirming that the mode is soft mode. The transition temperature (</w:t>
      </w:r>
      <w:r w:rsidRPr="00A7102E">
        <w:rPr>
          <w:i/>
          <w:sz w:val="20"/>
        </w:rPr>
        <w:t>T</w:t>
      </w:r>
      <w:r w:rsidRPr="00A7102E">
        <w:rPr>
          <w:i/>
          <w:sz w:val="20"/>
          <w:vertAlign w:val="subscript"/>
        </w:rPr>
        <w:t>c</w:t>
      </w:r>
      <w:r>
        <w:rPr>
          <w:sz w:val="20"/>
        </w:rPr>
        <w:t xml:space="preserve">) was determined as 415 ˚C. First-principles calculation of vibrational modes of </w:t>
      </w:r>
      <w:r w:rsidRPr="00A7102E">
        <w:rPr>
          <w:rFonts w:ascii="Symbol" w:hAnsi="Symbol"/>
          <w:sz w:val="20"/>
        </w:rPr>
        <w:t></w:t>
      </w:r>
      <w:r>
        <w:rPr>
          <w:sz w:val="20"/>
        </w:rPr>
        <w:t>-AlPO</w:t>
      </w:r>
      <w:r w:rsidRPr="00BE5238">
        <w:rPr>
          <w:sz w:val="20"/>
          <w:vertAlign w:val="subscript"/>
        </w:rPr>
        <w:t>4</w:t>
      </w:r>
      <w:r>
        <w:rPr>
          <w:sz w:val="20"/>
        </w:rPr>
        <w:t>-moganite predicted two low-frequency modes, and atomic displacements for the 74 cm</w:t>
      </w:r>
      <w:r w:rsidRPr="002918EB">
        <w:rPr>
          <w:sz w:val="20"/>
          <w:vertAlign w:val="superscript"/>
        </w:rPr>
        <w:t>-1</w:t>
      </w:r>
      <w:r>
        <w:rPr>
          <w:sz w:val="20"/>
        </w:rPr>
        <w:t>-</w:t>
      </w:r>
      <w:r>
        <w:rPr>
          <w:sz w:val="20"/>
        </w:rPr>
        <w:t>mode matched well toward to route for the expected high-temperature structure.</w:t>
      </w:r>
    </w:p>
    <w:p w:rsidR="000D56DA" w:rsidRPr="00161032" w:rsidRDefault="000D56DA" w:rsidP="000D56DA">
      <w:pPr>
        <w:spacing w:line="240" w:lineRule="atLeast"/>
        <w:ind w:firstLine="288"/>
        <w:rPr>
          <w:sz w:val="20"/>
        </w:rPr>
      </w:pPr>
      <w:r w:rsidRPr="00333590">
        <w:rPr>
          <w:noProof/>
          <w:sz w:val="20"/>
          <w:lang w:eastAsia="ja-JP"/>
        </w:rPr>
        <w:drawing>
          <wp:inline distT="0" distB="0" distL="0" distR="0" wp14:anchorId="1A6FE498" wp14:editId="51A15E94">
            <wp:extent cx="2176145" cy="1461770"/>
            <wp:effectExtent l="0" t="0" r="0" b="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145" cy="1461770"/>
                    </a:xfrm>
                    <a:prstGeom prst="rect">
                      <a:avLst/>
                    </a:prstGeom>
                    <a:noFill/>
                    <a:ln>
                      <a:noFill/>
                    </a:ln>
                  </pic:spPr>
                </pic:pic>
              </a:graphicData>
            </a:graphic>
          </wp:inline>
        </w:drawing>
      </w:r>
    </w:p>
    <w:p w:rsidR="000D56DA" w:rsidRDefault="000D56DA" w:rsidP="000D56DA">
      <w:pPr>
        <w:spacing w:afterLines="50" w:after="120" w:line="220" w:lineRule="exact"/>
        <w:jc w:val="both"/>
        <w:rPr>
          <w:sz w:val="20"/>
          <w:lang w:eastAsia="ja-JP"/>
        </w:rPr>
      </w:pPr>
      <w:r w:rsidRPr="00C016FC">
        <w:rPr>
          <w:rFonts w:hint="eastAsia"/>
          <w:b/>
          <w:i/>
          <w:lang w:eastAsia="ja-JP"/>
        </w:rPr>
        <w:t>Fig</w:t>
      </w:r>
      <w:r w:rsidR="00275C2C">
        <w:rPr>
          <w:b/>
          <w:i/>
          <w:lang w:eastAsia="ja-JP"/>
        </w:rPr>
        <w:t>ure</w:t>
      </w:r>
      <w:r w:rsidRPr="00C016FC">
        <w:rPr>
          <w:rFonts w:hint="eastAsia"/>
          <w:b/>
          <w:i/>
          <w:lang w:eastAsia="ja-JP"/>
        </w:rPr>
        <w:t xml:space="preserve"> 1</w:t>
      </w:r>
      <w:r w:rsidRPr="00C016FC">
        <w:rPr>
          <w:rFonts w:hint="eastAsia"/>
          <w:i/>
          <w:lang w:eastAsia="ja-JP"/>
        </w:rPr>
        <w:t xml:space="preserve"> </w:t>
      </w:r>
      <w:r>
        <w:rPr>
          <w:i/>
          <w:lang w:eastAsia="ja-JP"/>
        </w:rPr>
        <w:t xml:space="preserve">Soft mode Raman shift of </w:t>
      </w:r>
      <w:r w:rsidRPr="00011601">
        <w:rPr>
          <w:rFonts w:ascii="Symbol" w:hAnsi="Symbol"/>
          <w:i/>
          <w:szCs w:val="18"/>
        </w:rPr>
        <w:t></w:t>
      </w:r>
      <w:r>
        <w:rPr>
          <w:i/>
          <w:lang w:eastAsia="ja-JP"/>
        </w:rPr>
        <w:t>-AlPO</w:t>
      </w:r>
      <w:r w:rsidRPr="009202D3">
        <w:rPr>
          <w:i/>
          <w:vertAlign w:val="subscript"/>
          <w:lang w:eastAsia="ja-JP"/>
        </w:rPr>
        <w:t>4</w:t>
      </w:r>
      <w:r>
        <w:rPr>
          <w:i/>
          <w:lang w:eastAsia="ja-JP"/>
        </w:rPr>
        <w:t xml:space="preserve">-moganite versus temperature (sold circles). The solid line represents curve fitting using an order parameter equation </w:t>
      </w:r>
      <w:r w:rsidRPr="00011601">
        <w:rPr>
          <w:szCs w:val="18"/>
        </w:rPr>
        <w:t>(</w:t>
      </w:r>
      <w:r w:rsidRPr="00011601">
        <w:rPr>
          <w:rFonts w:ascii="Symbol" w:hAnsi="Symbol"/>
          <w:i/>
          <w:szCs w:val="18"/>
        </w:rPr>
        <w:t></w:t>
      </w:r>
      <w:r w:rsidRPr="00011601">
        <w:rPr>
          <w:i/>
          <w:szCs w:val="18"/>
          <w:vertAlign w:val="subscript"/>
        </w:rPr>
        <w:t>s</w:t>
      </w:r>
      <w:r w:rsidRPr="00011601">
        <w:rPr>
          <w:szCs w:val="18"/>
        </w:rPr>
        <w:t xml:space="preserve"> = </w:t>
      </w:r>
      <w:proofErr w:type="spellStart"/>
      <w:r w:rsidRPr="00011601">
        <w:rPr>
          <w:i/>
          <w:szCs w:val="18"/>
        </w:rPr>
        <w:t>A</w:t>
      </w:r>
      <w:r w:rsidRPr="00011601">
        <w:rPr>
          <w:szCs w:val="18"/>
        </w:rPr>
        <w:t>|</w:t>
      </w:r>
      <w:r w:rsidRPr="00011601">
        <w:rPr>
          <w:i/>
          <w:szCs w:val="18"/>
        </w:rPr>
        <w:t>T</w:t>
      </w:r>
      <w:r w:rsidRPr="00011601">
        <w:rPr>
          <w:i/>
          <w:szCs w:val="18"/>
          <w:vertAlign w:val="subscript"/>
        </w:rPr>
        <w:t>c</w:t>
      </w:r>
      <w:r w:rsidRPr="00011601">
        <w:rPr>
          <w:szCs w:val="18"/>
        </w:rPr>
        <w:t>-</w:t>
      </w:r>
      <w:r w:rsidRPr="00011601">
        <w:rPr>
          <w:i/>
          <w:szCs w:val="18"/>
        </w:rPr>
        <w:t>T</w:t>
      </w:r>
      <w:proofErr w:type="spellEnd"/>
      <w:r w:rsidRPr="00011601">
        <w:rPr>
          <w:szCs w:val="18"/>
        </w:rPr>
        <w:t>|</w:t>
      </w:r>
      <w:r w:rsidRPr="00011601">
        <w:rPr>
          <w:rFonts w:ascii="Symbol" w:hAnsi="Symbol"/>
          <w:i/>
          <w:szCs w:val="18"/>
          <w:vertAlign w:val="superscript"/>
        </w:rPr>
        <w:t></w:t>
      </w:r>
      <w:r w:rsidRPr="00011601">
        <w:rPr>
          <w:szCs w:val="18"/>
        </w:rPr>
        <w:t>)</w:t>
      </w:r>
      <w:r>
        <w:rPr>
          <w:szCs w:val="18"/>
        </w:rPr>
        <w:t>.</w:t>
      </w:r>
    </w:p>
    <w:p w:rsidR="000D56DA" w:rsidRPr="00161032" w:rsidRDefault="000D56DA" w:rsidP="000D56DA">
      <w:pPr>
        <w:spacing w:line="240" w:lineRule="atLeast"/>
        <w:ind w:firstLine="288"/>
        <w:jc w:val="both"/>
        <w:rPr>
          <w:sz w:val="20"/>
          <w:lang w:eastAsia="ja-JP"/>
        </w:rPr>
      </w:pPr>
      <w:r>
        <w:rPr>
          <w:rFonts w:hint="eastAsia"/>
          <w:sz w:val="20"/>
          <w:lang w:eastAsia="ja-JP"/>
        </w:rPr>
        <w:t>S</w:t>
      </w:r>
      <w:r>
        <w:rPr>
          <w:sz w:val="20"/>
          <w:lang w:eastAsia="ja-JP"/>
        </w:rPr>
        <w:t>econd example is low-frequency peak observed in natural minerals. We found a very intense (and broad) low-frequency Raman peak in a CO</w:t>
      </w:r>
      <w:r w:rsidRPr="007E6134">
        <w:rPr>
          <w:sz w:val="20"/>
          <w:vertAlign w:val="subscript"/>
          <w:lang w:eastAsia="ja-JP"/>
        </w:rPr>
        <w:t>2</w:t>
      </w:r>
      <w:r>
        <w:rPr>
          <w:sz w:val="20"/>
          <w:lang w:eastAsia="ja-JP"/>
        </w:rPr>
        <w:t>-containing melanophlogite as shown in Fig. 2 [4]. Melanophlogite is one of rare silica minerals with a clathrate structure. Heating study of this sample revealed that this feature is due to CO</w:t>
      </w:r>
      <w:r w:rsidRPr="00F767AC">
        <w:rPr>
          <w:sz w:val="20"/>
          <w:vertAlign w:val="subscript"/>
          <w:lang w:eastAsia="ja-JP"/>
        </w:rPr>
        <w:t>2</w:t>
      </w:r>
      <w:r>
        <w:rPr>
          <w:sz w:val="20"/>
          <w:lang w:eastAsia="ja-JP"/>
        </w:rPr>
        <w:t xml:space="preserve"> in the structure and is likely due to </w:t>
      </w:r>
      <w:proofErr w:type="spellStart"/>
      <w:r>
        <w:rPr>
          <w:sz w:val="20"/>
          <w:lang w:eastAsia="ja-JP"/>
        </w:rPr>
        <w:t>librational</w:t>
      </w:r>
      <w:proofErr w:type="spellEnd"/>
      <w:r>
        <w:rPr>
          <w:sz w:val="20"/>
          <w:lang w:eastAsia="ja-JP"/>
        </w:rPr>
        <w:t xml:space="preserve"> and translational modes of CO</w:t>
      </w:r>
      <w:r w:rsidRPr="00F767AC">
        <w:rPr>
          <w:sz w:val="20"/>
          <w:vertAlign w:val="subscript"/>
          <w:lang w:eastAsia="ja-JP"/>
        </w:rPr>
        <w:t>2</w:t>
      </w:r>
      <w:r>
        <w:rPr>
          <w:sz w:val="20"/>
          <w:lang w:eastAsia="ja-JP"/>
        </w:rPr>
        <w:t xml:space="preserve"> molecules in cages, as degassing reduced its intensity. Degassing behavior which is related to diffusion of CO</w:t>
      </w:r>
      <w:r w:rsidRPr="00F767AC">
        <w:rPr>
          <w:sz w:val="20"/>
          <w:vertAlign w:val="subscript"/>
          <w:lang w:eastAsia="ja-JP"/>
        </w:rPr>
        <w:t>2</w:t>
      </w:r>
      <w:r>
        <w:rPr>
          <w:sz w:val="20"/>
          <w:lang w:eastAsia="ja-JP"/>
        </w:rPr>
        <w:t xml:space="preserve"> in cages of the structure, can be studied by observing this and also CO</w:t>
      </w:r>
      <w:r w:rsidRPr="00F6723C">
        <w:rPr>
          <w:sz w:val="20"/>
          <w:vertAlign w:val="subscript"/>
          <w:lang w:eastAsia="ja-JP"/>
        </w:rPr>
        <w:t>2</w:t>
      </w:r>
      <w:r>
        <w:rPr>
          <w:sz w:val="20"/>
          <w:lang w:eastAsia="ja-JP"/>
        </w:rPr>
        <w:t xml:space="preserve"> vibrational peaks [4]. Low-frequency peaks are also found in several zeolites which are likely originated from molecular H</w:t>
      </w:r>
      <w:r w:rsidRPr="006439DC">
        <w:rPr>
          <w:sz w:val="20"/>
          <w:vertAlign w:val="subscript"/>
          <w:lang w:eastAsia="ja-JP"/>
        </w:rPr>
        <w:t>2</w:t>
      </w:r>
      <w:r>
        <w:rPr>
          <w:sz w:val="20"/>
          <w:lang w:eastAsia="ja-JP"/>
        </w:rPr>
        <w:t>O clusters in the large cages of zeo</w:t>
      </w:r>
      <w:r w:rsidRPr="00161032">
        <w:rPr>
          <w:sz w:val="20"/>
          <w:lang w:eastAsia="ja-JP"/>
        </w:rPr>
        <w:t>lites.</w:t>
      </w:r>
    </w:p>
    <w:p w:rsidR="000D56DA" w:rsidRPr="00161032" w:rsidRDefault="000D56DA" w:rsidP="000D56DA">
      <w:pPr>
        <w:spacing w:line="240" w:lineRule="atLeast"/>
        <w:jc w:val="both"/>
        <w:rPr>
          <w:sz w:val="20"/>
          <w:lang w:eastAsia="ja-JP"/>
        </w:rPr>
      </w:pPr>
    </w:p>
    <w:p w:rsidR="000D56DA" w:rsidRDefault="000D56DA" w:rsidP="000D56DA">
      <w:pPr>
        <w:spacing w:line="240" w:lineRule="atLeast"/>
        <w:ind w:firstLine="288"/>
        <w:rPr>
          <w:sz w:val="20"/>
          <w:lang w:eastAsia="ja-JP"/>
        </w:rPr>
      </w:pPr>
      <w:r w:rsidRPr="00333590">
        <w:rPr>
          <w:noProof/>
          <w:sz w:val="20"/>
          <w:lang w:eastAsia="ja-JP"/>
        </w:rPr>
        <w:drawing>
          <wp:inline distT="0" distB="0" distL="0" distR="0" wp14:anchorId="36B638EB" wp14:editId="07B27175">
            <wp:extent cx="2463165" cy="1515110"/>
            <wp:effectExtent l="0" t="0" r="0" b="0"/>
            <wp:docPr id="4"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3165" cy="1515110"/>
                    </a:xfrm>
                    <a:prstGeom prst="rect">
                      <a:avLst/>
                    </a:prstGeom>
                    <a:noFill/>
                    <a:ln>
                      <a:noFill/>
                    </a:ln>
                  </pic:spPr>
                </pic:pic>
              </a:graphicData>
            </a:graphic>
          </wp:inline>
        </w:drawing>
      </w:r>
    </w:p>
    <w:p w:rsidR="000D56DA" w:rsidRPr="00715250" w:rsidRDefault="000D56DA" w:rsidP="000D56DA">
      <w:pPr>
        <w:spacing w:afterLines="50" w:after="120" w:line="220" w:lineRule="exact"/>
        <w:jc w:val="both"/>
        <w:rPr>
          <w:sz w:val="20"/>
          <w:lang w:eastAsia="ja-JP"/>
        </w:rPr>
      </w:pPr>
      <w:r w:rsidRPr="00C016FC">
        <w:rPr>
          <w:rFonts w:hint="eastAsia"/>
          <w:b/>
          <w:i/>
          <w:lang w:eastAsia="ja-JP"/>
        </w:rPr>
        <w:t>Fig</w:t>
      </w:r>
      <w:r w:rsidR="00275C2C">
        <w:rPr>
          <w:b/>
          <w:i/>
          <w:lang w:eastAsia="ja-JP"/>
        </w:rPr>
        <w:t>ure</w:t>
      </w:r>
      <w:r w:rsidRPr="00C016FC">
        <w:rPr>
          <w:rFonts w:hint="eastAsia"/>
          <w:b/>
          <w:i/>
          <w:lang w:eastAsia="ja-JP"/>
        </w:rPr>
        <w:t xml:space="preserve"> </w:t>
      </w:r>
      <w:r>
        <w:rPr>
          <w:b/>
          <w:i/>
          <w:lang w:eastAsia="ja-JP"/>
        </w:rPr>
        <w:t>2</w:t>
      </w:r>
      <w:r w:rsidRPr="00C016FC">
        <w:rPr>
          <w:rFonts w:hint="eastAsia"/>
          <w:i/>
          <w:lang w:eastAsia="ja-JP"/>
        </w:rPr>
        <w:t xml:space="preserve"> </w:t>
      </w:r>
      <w:r>
        <w:rPr>
          <w:i/>
          <w:lang w:eastAsia="ja-JP"/>
        </w:rPr>
        <w:t>Raman spectrum of CO</w:t>
      </w:r>
      <w:r w:rsidRPr="00715250">
        <w:rPr>
          <w:i/>
          <w:vertAlign w:val="subscript"/>
          <w:lang w:eastAsia="ja-JP"/>
        </w:rPr>
        <w:t>2</w:t>
      </w:r>
      <w:r>
        <w:rPr>
          <w:i/>
          <w:lang w:eastAsia="ja-JP"/>
        </w:rPr>
        <w:t xml:space="preserve">-containing melanophlogite from </w:t>
      </w:r>
      <w:proofErr w:type="spellStart"/>
      <w:r>
        <w:rPr>
          <w:i/>
          <w:lang w:eastAsia="ja-JP"/>
        </w:rPr>
        <w:t>Fortunillo</w:t>
      </w:r>
      <w:proofErr w:type="spellEnd"/>
      <w:r>
        <w:rPr>
          <w:i/>
          <w:lang w:eastAsia="ja-JP"/>
        </w:rPr>
        <w:t>, Italy at ambient conditions</w:t>
      </w:r>
      <w:r>
        <w:rPr>
          <w:szCs w:val="18"/>
        </w:rPr>
        <w:t>.</w:t>
      </w:r>
    </w:p>
    <w:p w:rsidR="000D56DA" w:rsidRDefault="000D56DA" w:rsidP="000D56DA">
      <w:pPr>
        <w:spacing w:line="240" w:lineRule="atLeast"/>
        <w:jc w:val="both"/>
        <w:rPr>
          <w:sz w:val="20"/>
          <w:lang w:eastAsia="ja-JP"/>
        </w:rPr>
      </w:pPr>
      <w:r>
        <w:rPr>
          <w:rFonts w:hint="eastAsia"/>
          <w:b/>
          <w:sz w:val="20"/>
          <w:lang w:eastAsia="ja-JP"/>
        </w:rPr>
        <w:t>R</w:t>
      </w:r>
      <w:r w:rsidRPr="000A27E2">
        <w:rPr>
          <w:b/>
          <w:sz w:val="20"/>
        </w:rPr>
        <w:t>eferences:</w:t>
      </w:r>
      <w:r w:rsidRPr="000A27E2">
        <w:rPr>
          <w:sz w:val="20"/>
        </w:rPr>
        <w:t xml:space="preserve"> </w:t>
      </w:r>
      <w:r w:rsidRPr="000A27E2">
        <w:rPr>
          <w:rFonts w:hint="eastAsia"/>
          <w:sz w:val="20"/>
          <w:lang w:eastAsia="ja-JP"/>
        </w:rPr>
        <w:t>[</w:t>
      </w:r>
      <w:r>
        <w:rPr>
          <w:sz w:val="20"/>
          <w:lang w:eastAsia="ja-JP"/>
        </w:rPr>
        <w:t>1</w:t>
      </w:r>
      <w:r w:rsidRPr="000A27E2">
        <w:rPr>
          <w:rFonts w:hint="eastAsia"/>
          <w:sz w:val="20"/>
          <w:lang w:eastAsia="ja-JP"/>
        </w:rPr>
        <w:t>]</w:t>
      </w:r>
      <w:r w:rsidRPr="000A27E2">
        <w:rPr>
          <w:sz w:val="20"/>
        </w:rPr>
        <w:t> </w:t>
      </w:r>
      <w:r>
        <w:rPr>
          <w:sz w:val="20"/>
          <w:lang w:eastAsia="ja-JP"/>
        </w:rPr>
        <w:t>http://www.misasa.okayama-u.ac.jp/</w:t>
      </w:r>
      <w:r w:rsidRPr="00BE5238">
        <w:rPr>
          <w:sz w:val="20"/>
          <w:lang w:eastAsia="ja-JP"/>
        </w:rPr>
        <w:t>pukiwiki/index.php?Micro-Raman spectroscopy</w:t>
      </w:r>
      <w:r>
        <w:rPr>
          <w:rFonts w:hint="eastAsia"/>
          <w:sz w:val="20"/>
          <w:lang w:eastAsia="ja-JP"/>
        </w:rPr>
        <w:t xml:space="preserve"> </w:t>
      </w:r>
      <w:r w:rsidRPr="000A27E2">
        <w:rPr>
          <w:rFonts w:hint="eastAsia"/>
          <w:sz w:val="20"/>
          <w:lang w:eastAsia="ja-JP"/>
        </w:rPr>
        <w:t>[</w:t>
      </w:r>
      <w:r>
        <w:rPr>
          <w:sz w:val="20"/>
          <w:lang w:eastAsia="ja-JP"/>
        </w:rPr>
        <w:t>2</w:t>
      </w:r>
      <w:r w:rsidRPr="000A27E2">
        <w:rPr>
          <w:rFonts w:hint="eastAsia"/>
          <w:sz w:val="20"/>
          <w:lang w:eastAsia="ja-JP"/>
        </w:rPr>
        <w:t>]</w:t>
      </w:r>
      <w:r w:rsidRPr="000A27E2">
        <w:rPr>
          <w:sz w:val="20"/>
        </w:rPr>
        <w:t> </w:t>
      </w:r>
      <w:r>
        <w:rPr>
          <w:sz w:val="20"/>
          <w:lang w:eastAsia="ja-JP"/>
        </w:rPr>
        <w:t>Kanzaki, M.</w:t>
      </w:r>
      <w:r>
        <w:rPr>
          <w:rFonts w:hint="eastAsia"/>
          <w:sz w:val="20"/>
          <w:lang w:eastAsia="ja-JP"/>
        </w:rPr>
        <w:t>,</w:t>
      </w:r>
      <w:r w:rsidRPr="000A27E2">
        <w:rPr>
          <w:sz w:val="20"/>
        </w:rPr>
        <w:t xml:space="preserve"> </w:t>
      </w:r>
      <w:r>
        <w:rPr>
          <w:i/>
          <w:sz w:val="20"/>
          <w:lang w:eastAsia="ja-JP"/>
        </w:rPr>
        <w:t xml:space="preserve">J. Mineral. Petrol. Sci., </w:t>
      </w:r>
      <w:r>
        <w:rPr>
          <w:b/>
          <w:sz w:val="20"/>
          <w:lang w:eastAsia="ja-JP"/>
        </w:rPr>
        <w:t>113</w:t>
      </w:r>
      <w:r>
        <w:rPr>
          <w:rFonts w:hint="eastAsia"/>
          <w:sz w:val="20"/>
          <w:lang w:eastAsia="ja-JP"/>
        </w:rPr>
        <w:t xml:space="preserve">, </w:t>
      </w:r>
      <w:r>
        <w:rPr>
          <w:sz w:val="20"/>
          <w:lang w:eastAsia="ja-JP"/>
        </w:rPr>
        <w:t>126</w:t>
      </w:r>
      <w:r>
        <w:rPr>
          <w:rFonts w:hint="eastAsia"/>
          <w:sz w:val="20"/>
          <w:lang w:eastAsia="ja-JP"/>
        </w:rPr>
        <w:t xml:space="preserve"> (201</w:t>
      </w:r>
      <w:r>
        <w:rPr>
          <w:sz w:val="20"/>
          <w:lang w:eastAsia="ja-JP"/>
        </w:rPr>
        <w:t>8</w:t>
      </w:r>
      <w:r>
        <w:rPr>
          <w:rFonts w:hint="eastAsia"/>
          <w:sz w:val="20"/>
          <w:lang w:eastAsia="ja-JP"/>
        </w:rPr>
        <w:t>). [</w:t>
      </w:r>
      <w:r>
        <w:rPr>
          <w:sz w:val="20"/>
          <w:lang w:eastAsia="ja-JP"/>
        </w:rPr>
        <w:t>3</w:t>
      </w:r>
      <w:r>
        <w:rPr>
          <w:rFonts w:hint="eastAsia"/>
          <w:sz w:val="20"/>
          <w:lang w:eastAsia="ja-JP"/>
        </w:rPr>
        <w:t xml:space="preserve">] </w:t>
      </w:r>
      <w:r>
        <w:rPr>
          <w:sz w:val="20"/>
          <w:lang w:eastAsia="ja-JP"/>
        </w:rPr>
        <w:t xml:space="preserve">Kanzaki, M. and </w:t>
      </w:r>
      <w:proofErr w:type="spellStart"/>
      <w:r>
        <w:rPr>
          <w:sz w:val="20"/>
          <w:lang w:eastAsia="ja-JP"/>
        </w:rPr>
        <w:t>Xue</w:t>
      </w:r>
      <w:proofErr w:type="spellEnd"/>
      <w:r>
        <w:rPr>
          <w:sz w:val="20"/>
          <w:lang w:eastAsia="ja-JP"/>
        </w:rPr>
        <w:t>, X.</w:t>
      </w:r>
      <w:r>
        <w:rPr>
          <w:sz w:val="20"/>
        </w:rPr>
        <w:t xml:space="preserve"> </w:t>
      </w:r>
      <w:proofErr w:type="spellStart"/>
      <w:r>
        <w:rPr>
          <w:i/>
          <w:sz w:val="20"/>
          <w:lang w:eastAsia="ja-JP"/>
        </w:rPr>
        <w:t>Inorg</w:t>
      </w:r>
      <w:proofErr w:type="spellEnd"/>
      <w:r>
        <w:rPr>
          <w:i/>
          <w:sz w:val="20"/>
          <w:lang w:eastAsia="ja-JP"/>
        </w:rPr>
        <w:t xml:space="preserve">. Chem., </w:t>
      </w:r>
      <w:r>
        <w:rPr>
          <w:b/>
          <w:sz w:val="20"/>
          <w:lang w:eastAsia="ja-JP"/>
        </w:rPr>
        <w:t>51</w:t>
      </w:r>
      <w:r>
        <w:rPr>
          <w:rFonts w:hint="eastAsia"/>
          <w:sz w:val="20"/>
          <w:lang w:eastAsia="ja-JP"/>
        </w:rPr>
        <w:t xml:space="preserve">, </w:t>
      </w:r>
      <w:r>
        <w:rPr>
          <w:sz w:val="20"/>
          <w:lang w:eastAsia="ja-JP"/>
        </w:rPr>
        <w:t>6164</w:t>
      </w:r>
      <w:r>
        <w:rPr>
          <w:rFonts w:hint="eastAsia"/>
          <w:sz w:val="20"/>
          <w:lang w:eastAsia="ja-JP"/>
        </w:rPr>
        <w:t xml:space="preserve"> (201</w:t>
      </w:r>
      <w:r>
        <w:rPr>
          <w:sz w:val="20"/>
          <w:lang w:eastAsia="ja-JP"/>
        </w:rPr>
        <w:t>2</w:t>
      </w:r>
      <w:r>
        <w:rPr>
          <w:rFonts w:hint="eastAsia"/>
          <w:sz w:val="20"/>
          <w:lang w:eastAsia="ja-JP"/>
        </w:rPr>
        <w:t>).</w:t>
      </w:r>
      <w:r>
        <w:rPr>
          <w:sz w:val="20"/>
          <w:lang w:eastAsia="ja-JP"/>
        </w:rPr>
        <w:t xml:space="preserve"> [4] Kanzaki, M., </w:t>
      </w:r>
      <w:r>
        <w:rPr>
          <w:i/>
          <w:sz w:val="20"/>
          <w:lang w:eastAsia="ja-JP"/>
        </w:rPr>
        <w:t xml:space="preserve">J. Mineral. Petrol. Sci., </w:t>
      </w:r>
      <w:r>
        <w:rPr>
          <w:b/>
          <w:sz w:val="20"/>
          <w:lang w:eastAsia="ja-JP"/>
        </w:rPr>
        <w:t>114</w:t>
      </w:r>
      <w:r>
        <w:rPr>
          <w:rFonts w:hint="eastAsia"/>
          <w:sz w:val="20"/>
          <w:lang w:eastAsia="ja-JP"/>
        </w:rPr>
        <w:t xml:space="preserve"> (201</w:t>
      </w:r>
      <w:r>
        <w:rPr>
          <w:sz w:val="20"/>
          <w:lang w:eastAsia="ja-JP"/>
        </w:rPr>
        <w:t>9</w:t>
      </w:r>
      <w:r>
        <w:rPr>
          <w:rFonts w:hint="eastAsia"/>
          <w:sz w:val="20"/>
          <w:lang w:eastAsia="ja-JP"/>
        </w:rPr>
        <w:t>)</w:t>
      </w:r>
      <w:r>
        <w:rPr>
          <w:sz w:val="20"/>
          <w:lang w:eastAsia="ja-JP"/>
        </w:rPr>
        <w:t xml:space="preserve"> in press</w:t>
      </w:r>
      <w:r w:rsidRPr="001A05AA">
        <w:rPr>
          <w:sz w:val="20"/>
          <w:lang w:eastAsia="ja-JP"/>
        </w:rPr>
        <w:t>.</w:t>
      </w:r>
    </w:p>
    <w:p w:rsidR="000D56DA" w:rsidRPr="000D56DA" w:rsidRDefault="000D56DA" w:rsidP="000D56DA">
      <w:pPr>
        <w:spacing w:line="240" w:lineRule="atLeast"/>
        <w:jc w:val="both"/>
        <w:rPr>
          <w:sz w:val="20"/>
          <w:lang w:eastAsia="ja-JP"/>
        </w:rPr>
        <w:sectPr w:rsidR="000D56DA" w:rsidRPr="000D56DA" w:rsidSect="000D56DA">
          <w:type w:val="continuous"/>
          <w:pgSz w:w="11900" w:h="16840" w:code="1"/>
          <w:pgMar w:top="1440" w:right="1440" w:bottom="1440" w:left="1440" w:header="720" w:footer="720" w:gutter="0"/>
          <w:cols w:num="2" w:space="720"/>
          <w:docGrid w:linePitch="245"/>
        </w:sectPr>
      </w:pPr>
    </w:p>
    <w:p w:rsidR="0078769E" w:rsidRPr="000D56DA" w:rsidRDefault="0078769E" w:rsidP="000D56DA">
      <w:pPr>
        <w:spacing w:line="240" w:lineRule="atLeast"/>
      </w:pPr>
    </w:p>
    <w:sectPr w:rsidR="0078769E" w:rsidRPr="000D56DA" w:rsidSect="000D56DA">
      <w:type w:val="continuous"/>
      <w:pgSz w:w="11900" w:h="16840"/>
      <w:pgMar w:top="1440" w:right="1440" w:bottom="1440" w:left="1440" w:header="720" w:footer="720" w:gutter="0"/>
      <w:cols w:num="2" w:space="48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294" w:rsidRDefault="00D44294">
      <w:r>
        <w:separator/>
      </w:r>
    </w:p>
  </w:endnote>
  <w:endnote w:type="continuationSeparator" w:id="0">
    <w:p w:rsidR="00D44294" w:rsidRDefault="00D4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A2" w:rsidRDefault="00D442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294" w:rsidRDefault="00D44294">
      <w:r>
        <w:separator/>
      </w:r>
    </w:p>
  </w:footnote>
  <w:footnote w:type="continuationSeparator" w:id="0">
    <w:p w:rsidR="00D44294" w:rsidRDefault="00D44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2A2" w:rsidRDefault="00275C2C">
    <w:pPr>
      <w:pStyle w:val="a5"/>
      <w:jc w:val="center"/>
    </w:pPr>
    <w: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DA"/>
    <w:rsid w:val="000D56DA"/>
    <w:rsid w:val="00275C2C"/>
    <w:rsid w:val="00721544"/>
    <w:rsid w:val="0078769E"/>
    <w:rsid w:val="00BD32E0"/>
    <w:rsid w:val="00BF4BA7"/>
    <w:rsid w:val="00D44294"/>
    <w:rsid w:val="00DF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87821"/>
  <w15:chartTrackingRefBased/>
  <w15:docId w15:val="{ABAB7B7D-D2A6-6344-BDA3-F4D9A33A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6DA"/>
    <w:rPr>
      <w:rFonts w:ascii="Times New Roman" w:eastAsia="ＭＳ 明朝" w:hAnsi="Times New Roman" w:cs="Times New Roman"/>
      <w:kern w:val="0"/>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D56DA"/>
    <w:pPr>
      <w:tabs>
        <w:tab w:val="center" w:pos="4320"/>
        <w:tab w:val="right" w:pos="8640"/>
      </w:tabs>
    </w:pPr>
  </w:style>
  <w:style w:type="character" w:customStyle="1" w:styleId="a4">
    <w:name w:val="フッター (文字)"/>
    <w:basedOn w:val="a0"/>
    <w:link w:val="a3"/>
    <w:rsid w:val="000D56DA"/>
    <w:rPr>
      <w:rFonts w:ascii="Times New Roman" w:eastAsia="ＭＳ 明朝" w:hAnsi="Times New Roman" w:cs="Times New Roman"/>
      <w:kern w:val="0"/>
      <w:sz w:val="18"/>
      <w:szCs w:val="20"/>
      <w:lang w:eastAsia="en-US"/>
    </w:rPr>
  </w:style>
  <w:style w:type="paragraph" w:styleId="a5">
    <w:name w:val="header"/>
    <w:basedOn w:val="a"/>
    <w:link w:val="a6"/>
    <w:rsid w:val="000D56DA"/>
    <w:pPr>
      <w:tabs>
        <w:tab w:val="center" w:pos="4320"/>
        <w:tab w:val="right" w:pos="8640"/>
      </w:tabs>
    </w:pPr>
  </w:style>
  <w:style w:type="character" w:customStyle="1" w:styleId="a6">
    <w:name w:val="ヘッダー (文字)"/>
    <w:basedOn w:val="a0"/>
    <w:link w:val="a5"/>
    <w:rsid w:val="000D56DA"/>
    <w:rPr>
      <w:rFonts w:ascii="Times New Roman" w:eastAsia="ＭＳ 明朝" w:hAnsi="Times New Roman" w:cs="Times New Roman"/>
      <w:kern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601</Words>
  <Characters>3506</Characters>
  <Application>Microsoft Office Word</Application>
  <DocSecurity>0</DocSecurity>
  <Lines>94</Lines>
  <Paragraphs>15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Misasa2019 and Core-Mantle Coevolution symposium</dc:title>
  <dc:subject/>
  <dc:creator>Masami Kanzaki</dc:creator>
  <cp:keywords/>
  <dc:description/>
  <cp:lastModifiedBy>Masami Kanzaki</cp:lastModifiedBy>
  <cp:revision>3</cp:revision>
  <cp:lastPrinted>2019-01-04T05:32:00Z</cp:lastPrinted>
  <dcterms:created xsi:type="dcterms:W3CDTF">2019-01-04T05:23:00Z</dcterms:created>
  <dcterms:modified xsi:type="dcterms:W3CDTF">2019-01-07T07:42:00Z</dcterms:modified>
  <cp:category/>
</cp:coreProperties>
</file>